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Times New Roman" w:eastAsia="Calibri" w:hAnsi="Times New Roman"/>
          <w:b/>
          <w:szCs w:val="20"/>
        </w:rPr>
      </w:pPr>
      <w:r>
        <w:rPr>
          <w:rFonts w:ascii="Times New Roman" w:eastAsia="Calibri" w:hAnsi="Times New Roman"/>
          <w:b/>
          <w:szCs w:val="20"/>
        </w:rPr>
        <w:t>Student Assessment Reports (SARs)</w:t>
      </w:r>
    </w:p>
    <w:p>
      <w:pPr>
        <w:jc w:val="both"/>
        <w:rPr>
          <w:rFonts w:ascii="Times New Roman" w:eastAsia="Calibri" w:hAnsi="Times New Roman"/>
          <w:b/>
          <w:szCs w:val="20"/>
        </w:rPr>
      </w:pPr>
    </w:p>
    <w:p>
      <w:pPr>
        <w:jc w:val="both"/>
        <w:rPr>
          <w:rFonts w:ascii="Times New Roman" w:eastAsia="Calibri" w:hAnsi="Times New Roman"/>
          <w:b/>
          <w:szCs w:val="20"/>
        </w:rPr>
      </w:pPr>
      <w:r>
        <w:rPr>
          <w:rFonts w:ascii="Times New Roman" w:eastAsia="Calibri" w:hAnsi="Times New Roman"/>
          <w:b/>
          <w:szCs w:val="20"/>
        </w:rPr>
        <w:t>These will be sent home to parents 3 times a year for students in years 9-13 and twice a year for our Year 7 and 8 students. The schedule for this can be accessed via the school website.</w:t>
      </w:r>
    </w:p>
    <w:p>
      <w:pPr>
        <w:jc w:val="both"/>
        <w:rPr>
          <w:rFonts w:ascii="Times New Roman" w:hAnsi="Times New Roman"/>
          <w:szCs w:val="20"/>
          <w:lang w:val="en" w:eastAsia="en-GB"/>
        </w:rPr>
      </w:pPr>
    </w:p>
    <w:p>
      <w:pPr>
        <w:jc w:val="both"/>
        <w:rPr>
          <w:rFonts w:ascii="Times New Roman" w:hAnsi="Times New Roman"/>
          <w:szCs w:val="20"/>
          <w:lang w:val="en" w:eastAsia="en-GB"/>
        </w:rPr>
      </w:pPr>
      <w:r>
        <w:rPr>
          <w:rFonts w:ascii="Times New Roman" w:hAnsi="Times New Roman"/>
          <w:szCs w:val="20"/>
          <w:lang w:val="en" w:eastAsia="en-GB"/>
        </w:rPr>
        <w:t>It is important that both school and parents view your child’s progress as a journey. Small steps every term, whilst building knowledge and developing skills, is the key to GCSE success. Students are not expected to move up the scale quickly. Although the highest possible grade is 9, the average grade for students at the end of Y11 is 5, progress towards this should be steady and secure over time. Each student’s progress will be compared to a flight path, which is based on their own abilities.</w:t>
      </w:r>
    </w:p>
    <w:p>
      <w:pPr>
        <w:jc w:val="both"/>
        <w:rPr>
          <w:rFonts w:ascii="Times New Roman" w:hAnsi="Times New Roman"/>
          <w:szCs w:val="20"/>
          <w:lang w:val="en" w:eastAsia="en-GB"/>
        </w:rPr>
      </w:pPr>
    </w:p>
    <w:p>
      <w:pPr>
        <w:jc w:val="both"/>
        <w:rPr>
          <w:rFonts w:ascii="Times New Roman" w:hAnsi="Times New Roman"/>
          <w:szCs w:val="20"/>
          <w:lang w:val="en" w:eastAsia="en-GB"/>
        </w:rPr>
      </w:pPr>
      <w:r>
        <w:rPr>
          <w:rFonts w:ascii="Times New Roman" w:hAnsi="Times New Roman"/>
          <w:szCs w:val="20"/>
          <w:lang w:val="en" w:eastAsia="en-GB"/>
        </w:rPr>
        <w:t>We believe that this approach has many benefits:</w:t>
      </w:r>
    </w:p>
    <w:p>
      <w:pPr>
        <w:jc w:val="both"/>
        <w:rPr>
          <w:rFonts w:ascii="Times New Roman" w:hAnsi="Times New Roman"/>
          <w:szCs w:val="20"/>
          <w:lang w:val="en" w:eastAsia="en-GB"/>
        </w:rPr>
      </w:pPr>
    </w:p>
    <w:p>
      <w:pPr>
        <w:numPr>
          <w:ilvl w:val="0"/>
          <w:numId w:val="1"/>
        </w:numPr>
        <w:jc w:val="both"/>
        <w:rPr>
          <w:rFonts w:ascii="Times New Roman" w:hAnsi="Times New Roman"/>
          <w:szCs w:val="20"/>
          <w:lang w:val="en" w:eastAsia="en-GB"/>
        </w:rPr>
      </w:pPr>
      <w:r>
        <w:rPr>
          <w:rFonts w:ascii="Times New Roman" w:hAnsi="Times New Roman"/>
          <w:szCs w:val="20"/>
          <w:lang w:val="en" w:eastAsia="en-GB"/>
        </w:rPr>
        <w:t>It encourages all students to stretch themselves.</w:t>
      </w:r>
    </w:p>
    <w:p>
      <w:pPr>
        <w:numPr>
          <w:ilvl w:val="0"/>
          <w:numId w:val="1"/>
        </w:numPr>
        <w:jc w:val="both"/>
        <w:rPr>
          <w:rFonts w:ascii="Times New Roman" w:hAnsi="Times New Roman"/>
          <w:szCs w:val="20"/>
          <w:lang w:val="en" w:eastAsia="en-GB"/>
        </w:rPr>
      </w:pPr>
      <w:r>
        <w:rPr>
          <w:rFonts w:ascii="Times New Roman" w:hAnsi="Times New Roman"/>
          <w:szCs w:val="20"/>
          <w:lang w:val="en" w:eastAsia="en-GB"/>
        </w:rPr>
        <w:t>The 9-1 scale is linked to GCSE grades; therefore it is easy to understand.</w:t>
      </w:r>
    </w:p>
    <w:p>
      <w:pPr>
        <w:numPr>
          <w:ilvl w:val="0"/>
          <w:numId w:val="1"/>
        </w:numPr>
        <w:jc w:val="both"/>
        <w:rPr>
          <w:rFonts w:ascii="Times New Roman" w:hAnsi="Times New Roman"/>
          <w:szCs w:val="20"/>
          <w:lang w:val="en" w:eastAsia="en-GB"/>
        </w:rPr>
      </w:pPr>
      <w:r>
        <w:rPr>
          <w:rFonts w:ascii="Times New Roman" w:hAnsi="Times New Roman"/>
          <w:szCs w:val="20"/>
          <w:lang w:val="en" w:eastAsia="en-GB"/>
        </w:rPr>
        <w:t>It is simple for teachers, students and parents to monitor progress over time. As students are measured against the same criteria from Year 7 through to Year 11, we can clearly see the progress each individual is making in all subjects. Students who need stretching further, or who need more support, are easier to identify.</w:t>
      </w:r>
    </w:p>
    <w:p>
      <w:pPr>
        <w:numPr>
          <w:ilvl w:val="0"/>
          <w:numId w:val="1"/>
        </w:numPr>
        <w:jc w:val="both"/>
        <w:rPr>
          <w:rFonts w:ascii="Times New Roman" w:hAnsi="Times New Roman"/>
          <w:szCs w:val="20"/>
          <w:lang w:val="en" w:eastAsia="en-GB"/>
        </w:rPr>
      </w:pPr>
      <w:r>
        <w:rPr>
          <w:rFonts w:ascii="Times New Roman" w:hAnsi="Times New Roman"/>
          <w:szCs w:val="20"/>
          <w:lang w:val="en" w:eastAsia="en-GB"/>
        </w:rPr>
        <w:t>The same assessment language is used across the School, making it easier for students to understand what they need to do to move on, and for parents to be involved in their child’s progress.</w:t>
      </w:r>
    </w:p>
    <w:p>
      <w:pPr>
        <w:jc w:val="both"/>
        <w:rPr>
          <w:rFonts w:ascii="Times New Roman" w:eastAsia="Calibri" w:hAnsi="Times New Roman"/>
          <w:b/>
          <w:szCs w:val="20"/>
          <w:u w:val="single"/>
        </w:rPr>
      </w:pPr>
    </w:p>
    <w:p>
      <w:pPr>
        <w:rPr>
          <w:rFonts w:ascii="Times New Roman" w:eastAsia="Calibri" w:hAnsi="Times New Roman"/>
          <w:b/>
          <w:szCs w:val="20"/>
        </w:rPr>
      </w:pPr>
      <w:r>
        <w:rPr>
          <w:rFonts w:ascii="Times New Roman" w:eastAsia="Calibri" w:hAnsi="Times New Roman"/>
          <w:b/>
          <w:szCs w:val="20"/>
        </w:rPr>
        <w:t>For Years 9, 10 and 11 SARs</w:t>
      </w:r>
    </w:p>
    <w:p>
      <w:pPr>
        <w:rPr>
          <w:rFonts w:ascii="Times New Roman" w:hAnsi="Times New Roman"/>
          <w:sz w:val="32"/>
        </w:rPr>
      </w:pPr>
    </w:p>
    <w:p>
      <w:pPr>
        <w:rPr>
          <w:rFonts w:ascii="Times New Roman" w:eastAsia="Calibri" w:hAnsi="Times New Roman"/>
          <w:szCs w:val="20"/>
        </w:rPr>
      </w:pPr>
      <w:r>
        <w:rPr>
          <w:rFonts w:ascii="Times New Roman" w:eastAsia="Calibri" w:hAnsi="Times New Roman"/>
          <w:szCs w:val="20"/>
        </w:rPr>
        <w:t xml:space="preserve">In each subject, teachers will make a GCSE prediction based on all the available evidence.  This prediction will be colour coded on the SAR to reflect what progress the student is making towards their target as detailed below. </w:t>
      </w:r>
    </w:p>
    <w:p>
      <w:pPr>
        <w:pStyle w:val="ListParagraph"/>
        <w:numPr>
          <w:ilvl w:val="0"/>
          <w:numId w:val="3"/>
        </w:numPr>
        <w:rPr>
          <w:rFonts w:ascii="Times New Roman" w:hAnsi="Times New Roman" w:cs="Times New Roman"/>
          <w:b/>
        </w:rPr>
      </w:pPr>
      <w:r>
        <w:rPr>
          <w:rFonts w:ascii="Times New Roman" w:hAnsi="Times New Roman" w:cs="Times New Roman"/>
          <w:b/>
          <w:color w:val="00B0F0"/>
          <w:sz w:val="28"/>
        </w:rPr>
        <w:t xml:space="preserve">Blue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rPr>
        <w:t xml:space="preserve">Excellent - is working above expected standard                          </w:t>
      </w:r>
    </w:p>
    <w:p>
      <w:pPr>
        <w:pStyle w:val="ListParagraph"/>
        <w:numPr>
          <w:ilvl w:val="0"/>
          <w:numId w:val="2"/>
        </w:numPr>
        <w:rPr>
          <w:rFonts w:ascii="Times New Roman" w:hAnsi="Times New Roman" w:cs="Times New Roman"/>
          <w:b/>
        </w:rPr>
      </w:pPr>
      <w:r>
        <w:rPr>
          <w:rFonts w:ascii="Times New Roman" w:hAnsi="Times New Roman" w:cs="Times New Roman"/>
          <w:b/>
          <w:color w:val="92D050"/>
        </w:rPr>
        <w:t>Green</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Good – is working at expected standard  </w:t>
      </w:r>
    </w:p>
    <w:p>
      <w:pPr>
        <w:pStyle w:val="ListParagraph"/>
        <w:numPr>
          <w:ilvl w:val="0"/>
          <w:numId w:val="2"/>
        </w:numPr>
        <w:rPr>
          <w:rFonts w:ascii="Times New Roman" w:hAnsi="Times New Roman" w:cs="Times New Roman"/>
          <w:b/>
        </w:rPr>
      </w:pPr>
      <w:r>
        <w:rPr>
          <w:rFonts w:ascii="Times New Roman" w:hAnsi="Times New Roman" w:cs="Times New Roman"/>
          <w:b/>
          <w:color w:val="FFC000"/>
        </w:rPr>
        <w:t>Amber</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Requires improvement -  is working below expected standard </w:t>
      </w:r>
    </w:p>
    <w:p>
      <w:pPr>
        <w:pStyle w:val="ListParagraph"/>
        <w:numPr>
          <w:ilvl w:val="0"/>
          <w:numId w:val="2"/>
        </w:numPr>
        <w:rPr>
          <w:rFonts w:ascii="Times New Roman" w:hAnsi="Times New Roman" w:cs="Times New Roman"/>
          <w:b/>
        </w:rPr>
      </w:pPr>
      <w:r>
        <w:rPr>
          <w:rFonts w:ascii="Times New Roman" w:hAnsi="Times New Roman" w:cs="Times New Roman"/>
          <w:b/>
          <w:color w:val="FF0000"/>
        </w:rPr>
        <w:t xml:space="preserve">Red  </w:t>
      </w:r>
      <w:r>
        <w:rPr>
          <w:rFonts w:ascii="Times New Roman" w:hAnsi="Times New Roman" w:cs="Times New Roman"/>
          <w:b/>
        </w:rPr>
        <w:tab/>
      </w:r>
      <w:r>
        <w:rPr>
          <w:rFonts w:ascii="Times New Roman" w:hAnsi="Times New Roman" w:cs="Times New Roman"/>
          <w:b/>
        </w:rPr>
        <w:tab/>
        <w:t>Serious Concern – is working well below expected standard</w:t>
      </w:r>
    </w:p>
    <w:p>
      <w:pPr>
        <w:rPr>
          <w:rFonts w:ascii="Times New Roman" w:eastAsia="Calibri" w:hAnsi="Times New Roman"/>
          <w:szCs w:val="20"/>
        </w:rPr>
      </w:pPr>
      <w:r>
        <w:rPr>
          <w:rFonts w:ascii="Times New Roman" w:eastAsia="Calibri" w:hAnsi="Times New Roman"/>
          <w:szCs w:val="20"/>
        </w:rPr>
        <w:t xml:space="preserve">In addition, both target </w:t>
      </w:r>
      <w:proofErr w:type="gramStart"/>
      <w:r>
        <w:rPr>
          <w:rFonts w:ascii="Times New Roman" w:eastAsia="Calibri" w:hAnsi="Times New Roman"/>
          <w:szCs w:val="20"/>
        </w:rPr>
        <w:t>grades  and</w:t>
      </w:r>
      <w:proofErr w:type="gramEnd"/>
      <w:r>
        <w:rPr>
          <w:rFonts w:ascii="Times New Roman" w:eastAsia="Calibri" w:hAnsi="Times New Roman"/>
          <w:szCs w:val="20"/>
        </w:rPr>
        <w:t xml:space="preserve"> predicted grades will be shown. </w:t>
      </w:r>
    </w:p>
    <w:p>
      <w:pPr>
        <w:rPr>
          <w:rFonts w:ascii="Times New Roman" w:eastAsia="Calibri" w:hAnsi="Times New Roman"/>
          <w:szCs w:val="20"/>
        </w:rPr>
      </w:pPr>
    </w:p>
    <w:p>
      <w:pPr>
        <w:rPr>
          <w:rFonts w:ascii="Times New Roman" w:eastAsia="Calibri" w:hAnsi="Times New Roman"/>
          <w:szCs w:val="20"/>
        </w:rPr>
      </w:pPr>
      <w:r>
        <w:rPr>
          <w:rFonts w:ascii="Times New Roman" w:eastAsia="Calibri" w:hAnsi="Times New Roman"/>
          <w:szCs w:val="20"/>
        </w:rPr>
        <w:t xml:space="preserve">Please note that parents and students should be aware that target grades are a realistic goal and </w:t>
      </w:r>
      <w:proofErr w:type="gramStart"/>
      <w:r>
        <w:rPr>
          <w:rFonts w:ascii="Times New Roman" w:eastAsia="Calibri" w:hAnsi="Times New Roman"/>
          <w:szCs w:val="20"/>
        </w:rPr>
        <w:t>can  go</w:t>
      </w:r>
      <w:proofErr w:type="gramEnd"/>
      <w:r>
        <w:rPr>
          <w:rFonts w:ascii="Times New Roman" w:eastAsia="Calibri" w:hAnsi="Times New Roman"/>
          <w:szCs w:val="20"/>
        </w:rPr>
        <w:t xml:space="preserve"> up based on excellent performance.</w:t>
      </w:r>
    </w:p>
    <w:p>
      <w:pPr>
        <w:rPr>
          <w:rFonts w:ascii="Times New Roman" w:hAnsi="Times New Roman"/>
        </w:rPr>
      </w:pPr>
    </w:p>
    <w:p>
      <w:pPr>
        <w:rPr>
          <w:rFonts w:ascii="Times New Roman" w:hAnsi="Times New Roman"/>
          <w:b/>
        </w:rPr>
      </w:pPr>
      <w:r>
        <w:rPr>
          <w:rFonts w:ascii="Times New Roman" w:hAnsi="Times New Roman"/>
          <w:b/>
        </w:rPr>
        <w:t>(See exemplar report at the end of this document)</w:t>
      </w:r>
    </w:p>
    <w:p>
      <w:pPr>
        <w:rPr>
          <w:rFonts w:ascii="Times New Roman" w:eastAsia="Calibri" w:hAnsi="Times New Roman"/>
          <w:szCs w:val="20"/>
        </w:rPr>
      </w:pPr>
    </w:p>
    <w:p>
      <w:pPr>
        <w:rPr>
          <w:rFonts w:ascii="Times New Roman" w:eastAsia="Calibri" w:hAnsi="Times New Roman"/>
          <w:szCs w:val="20"/>
        </w:rPr>
      </w:pPr>
      <w:r>
        <w:rPr>
          <w:rFonts w:ascii="Times New Roman" w:eastAsia="Calibri" w:hAnsi="Times New Roman"/>
          <w:szCs w:val="20"/>
        </w:rPr>
        <w:t xml:space="preserve">Teachers also report on: </w:t>
      </w:r>
    </w:p>
    <w:p>
      <w:pPr>
        <w:pStyle w:val="ListParagraph"/>
        <w:numPr>
          <w:ilvl w:val="0"/>
          <w:numId w:val="5"/>
        </w:numPr>
        <w:rPr>
          <w:rFonts w:ascii="Times New Roman" w:hAnsi="Times New Roman" w:cs="Times New Roman"/>
          <w:b/>
          <w:sz w:val="24"/>
          <w:szCs w:val="20"/>
        </w:rPr>
      </w:pPr>
      <w:r>
        <w:rPr>
          <w:rFonts w:ascii="Times New Roman" w:eastAsia="Calibri" w:hAnsi="Times New Roman" w:cs="Times New Roman"/>
          <w:b/>
          <w:sz w:val="24"/>
          <w:szCs w:val="20"/>
        </w:rPr>
        <w:t xml:space="preserve">Attitude to Learning (see descriptors below).   </w:t>
      </w:r>
    </w:p>
    <w:p>
      <w:pPr>
        <w:rPr>
          <w:rFonts w:ascii="Times New Roman" w:hAnsi="Times New Roman"/>
        </w:rPr>
      </w:pPr>
      <w:r>
        <w:rPr>
          <w:rFonts w:ascii="Times New Roman" w:hAnsi="Times New Roman"/>
          <w:noProof/>
          <w:lang w:eastAsia="en-GB"/>
        </w:rPr>
        <w:drawing>
          <wp:inline distT="0" distB="0" distL="0" distR="0">
            <wp:extent cx="5966654" cy="219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6654" cy="2197100"/>
                    </a:xfrm>
                    <a:prstGeom prst="rect">
                      <a:avLst/>
                    </a:prstGeom>
                    <a:noFill/>
                  </pic:spPr>
                </pic:pic>
              </a:graphicData>
            </a:graphic>
          </wp:inline>
        </w:drawing>
      </w:r>
    </w:p>
    <w:p>
      <w:pPr>
        <w:rPr>
          <w:rFonts w:ascii="Times New Roman" w:hAnsi="Times New Roman"/>
        </w:rPr>
      </w:pPr>
    </w:p>
    <w:p>
      <w:pPr>
        <w:pStyle w:val="ListParagraph"/>
        <w:numPr>
          <w:ilvl w:val="0"/>
          <w:numId w:val="4"/>
        </w:num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Attendance </w:t>
      </w:r>
      <w:r>
        <w:rPr>
          <w:rFonts w:ascii="Times New Roman" w:eastAsia="Calibri" w:hAnsi="Times New Roman" w:cs="Times New Roman"/>
          <w:b/>
          <w:sz w:val="24"/>
          <w:szCs w:val="20"/>
        </w:rPr>
        <w:t xml:space="preserve">(see descriptors below).   </w:t>
      </w:r>
    </w:p>
    <w:p>
      <w:pPr>
        <w:pStyle w:val="ListParagraph"/>
        <w:rPr>
          <w:rFonts w:ascii="Times New Roman" w:eastAsia="Calibri" w:hAnsi="Times New Roman" w:cs="Times New Roman"/>
          <w:b/>
          <w:sz w:val="24"/>
          <w:szCs w:val="24"/>
        </w:rPr>
      </w:pPr>
      <w:r>
        <w:rPr>
          <w:rFonts w:ascii="Times New Roman" w:eastAsia="Calibri" w:hAnsi="Times New Roman" w:cs="Times New Roman"/>
          <w:b/>
          <w:color w:val="00B0F0"/>
          <w:sz w:val="24"/>
          <w:szCs w:val="24"/>
        </w:rPr>
        <w:t>Outstanding</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If attendance is 100%,</w:t>
      </w:r>
    </w:p>
    <w:p>
      <w:pPr>
        <w:pStyle w:val="ListParagraph"/>
        <w:rPr>
          <w:rFonts w:ascii="Times New Roman" w:eastAsia="Calibri" w:hAnsi="Times New Roman" w:cs="Times New Roman"/>
          <w:b/>
          <w:sz w:val="24"/>
          <w:szCs w:val="24"/>
        </w:rPr>
      </w:pPr>
      <w:r>
        <w:rPr>
          <w:rFonts w:ascii="Times New Roman" w:eastAsia="Calibri" w:hAnsi="Times New Roman" w:cs="Times New Roman"/>
          <w:b/>
          <w:color w:val="92D050"/>
          <w:sz w:val="24"/>
          <w:szCs w:val="24"/>
        </w:rPr>
        <w:t>Good</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If attendance is equal to or greater than 96%</w:t>
      </w:r>
    </w:p>
    <w:p>
      <w:pPr>
        <w:pStyle w:val="ListParagraph"/>
        <w:rPr>
          <w:rFonts w:ascii="Times New Roman" w:eastAsia="Calibri" w:hAnsi="Times New Roman" w:cs="Times New Roman"/>
          <w:b/>
          <w:sz w:val="24"/>
          <w:szCs w:val="24"/>
        </w:rPr>
      </w:pPr>
      <w:r>
        <w:rPr>
          <w:rFonts w:ascii="Times New Roman" w:eastAsia="Calibri" w:hAnsi="Times New Roman" w:cs="Times New Roman"/>
          <w:b/>
          <w:color w:val="FFC000"/>
          <w:sz w:val="24"/>
          <w:szCs w:val="24"/>
        </w:rPr>
        <w:t>Requires Improvement</w:t>
      </w:r>
      <w:r>
        <w:rPr>
          <w:rFonts w:ascii="Times New Roman" w:eastAsia="Calibri" w:hAnsi="Times New Roman" w:cs="Times New Roman"/>
          <w:b/>
          <w:sz w:val="24"/>
          <w:szCs w:val="24"/>
        </w:rPr>
        <w:tab/>
        <w:t xml:space="preserve"> If attendance is less than 96% </w:t>
      </w:r>
    </w:p>
    <w:p>
      <w:pPr>
        <w:pStyle w:val="ListParagraph"/>
        <w:rPr>
          <w:rFonts w:ascii="Times New Roman" w:eastAsia="Calibri" w:hAnsi="Times New Roman" w:cs="Times New Roman"/>
          <w:b/>
          <w:sz w:val="24"/>
          <w:szCs w:val="24"/>
        </w:rPr>
      </w:pPr>
      <w:r>
        <w:rPr>
          <w:rFonts w:ascii="Times New Roman" w:eastAsia="Calibri" w:hAnsi="Times New Roman" w:cs="Times New Roman"/>
          <w:b/>
          <w:color w:val="FF0000"/>
          <w:sz w:val="24"/>
          <w:szCs w:val="24"/>
        </w:rPr>
        <w:t xml:space="preserve">Serious Concern </w:t>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if attendance is less than 90%</w:t>
      </w:r>
    </w:p>
    <w:p>
      <w:pPr>
        <w:pStyle w:val="ListParagraph"/>
        <w:rPr>
          <w:rFonts w:ascii="Times New Roman" w:eastAsia="Calibri" w:hAnsi="Times New Roman" w:cs="Times New Roman"/>
          <w:b/>
          <w:sz w:val="24"/>
          <w:szCs w:val="24"/>
        </w:rPr>
      </w:pPr>
    </w:p>
    <w:p>
      <w:pPr>
        <w:pStyle w:val="ListParagraph"/>
        <w:numPr>
          <w:ilvl w:val="0"/>
          <w:numId w:val="4"/>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Green cards, Yellow cards and Red cards</w:t>
      </w:r>
    </w:p>
    <w:p>
      <w:pPr>
        <w:ind w:left="720"/>
        <w:jc w:val="both"/>
        <w:rPr>
          <w:rFonts w:ascii="Times New Roman" w:eastAsia="Calibri" w:hAnsi="Times New Roman"/>
          <w:b/>
        </w:rPr>
      </w:pPr>
      <w:r>
        <w:rPr>
          <w:rFonts w:ascii="Times New Roman" w:eastAsia="Calibri" w:hAnsi="Times New Roman"/>
          <w:b/>
        </w:rPr>
        <w:t>The numbers of Green cards, Yellow cards and Red cards issued along with the year group averages will be shown for each assessment report.</w:t>
      </w:r>
    </w:p>
    <w:p>
      <w:pPr>
        <w:ind w:left="720"/>
        <w:jc w:val="both"/>
        <w:rPr>
          <w:rFonts w:ascii="Times New Roman" w:eastAsia="Calibri" w:hAnsi="Times New Roman"/>
          <w:b/>
        </w:rPr>
      </w:pPr>
    </w:p>
    <w:p>
      <w:pPr>
        <w:jc w:val="both"/>
        <w:rPr>
          <w:rFonts w:ascii="Times New Roman" w:eastAsia="Calibri" w:hAnsi="Times New Roman"/>
          <w:b/>
          <w:szCs w:val="20"/>
        </w:rPr>
      </w:pPr>
      <w:r>
        <w:rPr>
          <w:rFonts w:ascii="Times New Roman" w:eastAsia="Calibri" w:hAnsi="Times New Roman"/>
          <w:b/>
          <w:szCs w:val="20"/>
        </w:rPr>
        <w:t>Sample Student Assessment Report (SAR)</w:t>
      </w:r>
    </w:p>
    <w:p>
      <w:pPr>
        <w:jc w:val="both"/>
        <w:rPr>
          <w:rFonts w:ascii="Times New Roman" w:hAnsi="Times New Roman"/>
          <w:noProof/>
          <w:lang w:eastAsia="en-GB"/>
        </w:rPr>
      </w:pPr>
    </w:p>
    <w:p>
      <w:pPr>
        <w:rPr>
          <w:rFonts w:ascii="Times New Roman" w:hAnsi="Times New Roman"/>
          <w:sz w:val="20"/>
          <w:szCs w:val="20"/>
        </w:rPr>
      </w:pPr>
      <w:bookmarkStart w:id="0" w:name="_GoBack"/>
      <w:r>
        <w:rPr>
          <w:noProof/>
          <w:lang w:eastAsia="en-GB"/>
        </w:rPr>
        <w:drawing>
          <wp:inline distT="0" distB="0" distL="0" distR="0">
            <wp:extent cx="6591300" cy="730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91300" cy="7302500"/>
                    </a:xfrm>
                    <a:prstGeom prst="rect">
                      <a:avLst/>
                    </a:prstGeom>
                  </pic:spPr>
                </pic:pic>
              </a:graphicData>
            </a:graphic>
          </wp:inline>
        </w:drawing>
      </w:r>
      <w:bookmarkEnd w:id="0"/>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C3EB2"/>
    <w:multiLevelType w:val="hybridMultilevel"/>
    <w:tmpl w:val="5C08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E714ED"/>
    <w:multiLevelType w:val="multilevel"/>
    <w:tmpl w:val="D664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75D25"/>
    <w:multiLevelType w:val="hybridMultilevel"/>
    <w:tmpl w:val="2DDC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2D20E3"/>
    <w:multiLevelType w:val="hybridMultilevel"/>
    <w:tmpl w:val="71EC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387D9B"/>
    <w:multiLevelType w:val="hybridMultilevel"/>
    <w:tmpl w:val="D4A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McAuley Catholic High School</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Long</dc:creator>
  <cp:lastModifiedBy>Janet Shepherd</cp:lastModifiedBy>
  <cp:revision>6</cp:revision>
  <cp:lastPrinted>2019-12-02T14:13:00Z</cp:lastPrinted>
  <dcterms:created xsi:type="dcterms:W3CDTF">2019-11-29T11:53:00Z</dcterms:created>
  <dcterms:modified xsi:type="dcterms:W3CDTF">2019-12-02T14:16:00Z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